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1"/>
          <w:color w:val="000000"/>
          <w:sz w:val="28"/>
        </w:rPr>
      </w:pPr>
      <w:r>
        <w:rPr>
          <w:rFonts w:ascii="Times New Roman" w:hAnsi="Times New Roman"/>
          <w:b w:val="1"/>
          <w:color w:val="000000"/>
          <w:sz w:val="28"/>
        </w:rPr>
        <w:t>Особенности регулирования применения биологически активных добавок</w:t>
      </w:r>
    </w:p>
    <w:p w14:paraId="02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3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Федеральный закон от 07.06.2025 № 150-ФЗ «О внесении изменений в отдельные законодательные акты Российской Федерации».</w:t>
      </w:r>
    </w:p>
    <w:p w14:paraId="04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5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С 1 сентября 2025 года установлены особенности регулирования применения биологически активных добавок.</w:t>
      </w:r>
    </w:p>
    <w:p w14:paraId="06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7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Медицинские работники в порядке, установленном Минздравом России по согласованию с Роспотребнадзором, вправе назначать зарегистрированные биологически активные добавки, включенные в перечень биологически активных добавок, при наличии показаний к их применению. Биологически активные добавки назначаются в соответствии со схемами их применения, установленными методическими рекомендациями.</w:t>
      </w:r>
    </w:p>
    <w:p w14:paraId="08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9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В перечень биологически активных добавок включаются биологически активные добавки, в том числе биологически активные добавки, произведенные в Российской Федерации, отвечающие установленным Правительством Российской Федерации критериям качества биологически активных добавок и их эффективности в зависимости от степени влияния на здоровье человека, а также требованиям технических регламентов ЕАЭС.</w:t>
      </w:r>
    </w:p>
    <w:p w14:paraId="0A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B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Правительство Российской Федерации вправе устанавливать в том числе особенности регулирования применения биологически активных добавок.</w:t>
      </w:r>
    </w:p>
    <w:p w14:paraId="0C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D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Запрещается распространение информации, содержащей предложение о розничной торговле биологически активными добавками, в том числе дистанционным способом, розничная торговля которыми запрещена. Вводится ограничение доступа к сайтам, содержащим такую информацию.</w:t>
      </w:r>
    </w:p>
    <w:p w14:paraId="0E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F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10000000">
      <w:pPr>
        <w:widowControl w:val="1"/>
        <w:spacing w:after="0" w:before="0" w:line="240" w:lineRule="auto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Прокурор Курманаевского района</w:t>
      </w:r>
    </w:p>
    <w:p w14:paraId="11000000">
      <w:pPr>
        <w:widowControl w:val="1"/>
        <w:spacing w:after="0" w:before="0" w:line="240" w:lineRule="auto"/>
        <w:ind w:firstLine="0" w:left="0" w:right="0"/>
        <w:jc w:val="both"/>
        <w:rPr>
          <w:rFonts w:ascii="Times New Roman" w:hAnsi="Times New Roman"/>
          <w:b w:val="0"/>
          <w:sz w:val="28"/>
        </w:rPr>
      </w:pPr>
    </w:p>
    <w:p w14:paraId="12000000">
      <w:pPr>
        <w:widowControl w:val="1"/>
        <w:spacing w:after="0" w:before="0" w:line="240" w:lineRule="auto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советник юстиции                                                                                     Ю.Е. Кучуров</w:t>
      </w:r>
    </w:p>
    <w:sectPr>
      <w:pgSz w:h="16838" w:orient="portrait" w:w="11906"/>
      <w:pgMar w:bottom="1134" w:left="1304" w:right="737" w:top="1134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spacing w:line="240" w:lineRule="auto"/>
      <w:ind/>
      <w:jc w:val="both"/>
    </w:pPr>
    <w:rPr>
      <w:rFonts w:ascii="XO Thames" w:hAnsi="XO Thames"/>
      <w:sz w:val="28"/>
    </w:rPr>
  </w:style>
  <w:style w:default="1" w:styleId="Style_1_ch" w:type="character">
    <w:name w:val="Normal"/>
    <w:link w:val="Style_1"/>
    <w:rPr>
      <w:rFonts w:ascii="XO Thames" w:hAnsi="XO Thames"/>
      <w:sz w:val="28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1"/>
    <w:link w:val="Style_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1"/>
    <w:link w:val="Style_10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1"/>
    <w:link w:val="Style_1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spacing w:line="240" w:lineRule="auto"/>
      <w:ind/>
      <w:jc w:val="both"/>
    </w:pPr>
    <w:rPr>
      <w:rFonts w:ascii="XO Thames" w:hAnsi="XO Thames"/>
      <w:sz w:val="28"/>
    </w:rPr>
  </w:style>
  <w:style w:styleId="Style_14_ch" w:type="character">
    <w:name w:val="Header and Footer"/>
    <w:link w:val="Style_14"/>
    <w:rPr>
      <w:rFonts w:ascii="XO Thames" w:hAnsi="XO Thames"/>
      <w:sz w:val="28"/>
    </w:rPr>
  </w:style>
  <w:style w:styleId="Style_15" w:type="paragraph">
    <w:name w:val="toc 9"/>
    <w:next w:val="Style_1"/>
    <w:link w:val="Style_15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1"/>
    <w:link w:val="Style_16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1"/>
    <w:link w:val="Style_17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Subtitle"/>
    <w:next w:val="Style_1"/>
    <w:link w:val="Style_18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8_ch" w:type="character">
    <w:name w:val="Subtitle"/>
    <w:link w:val="Style_18"/>
    <w:rPr>
      <w:rFonts w:ascii="XO Thames" w:hAnsi="XO Thames"/>
      <w:i w:val="1"/>
      <w:sz w:val="24"/>
    </w:rPr>
  </w:style>
  <w:style w:styleId="Style_19" w:type="paragraph">
    <w:name w:val="Title"/>
    <w:next w:val="Style_1"/>
    <w:link w:val="Style_19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9_ch" w:type="character">
    <w:name w:val="Title"/>
    <w:link w:val="Style_19"/>
    <w:rPr>
      <w:rFonts w:ascii="XO Thames" w:hAnsi="XO Thames"/>
      <w:b w:val="1"/>
      <w:caps w:val="1"/>
      <w:sz w:val="40"/>
    </w:rPr>
  </w:style>
  <w:style w:styleId="Style_20" w:type="paragraph">
    <w:name w:val="heading 4"/>
    <w:next w:val="Style_1"/>
    <w:link w:val="Style_20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0_ch" w:type="character">
    <w:name w:val="heading 4"/>
    <w:link w:val="Style_20"/>
    <w:rPr>
      <w:rFonts w:ascii="XO Thames" w:hAnsi="XO Thames"/>
      <w:b w:val="1"/>
      <w:sz w:val="24"/>
    </w:rPr>
  </w:style>
  <w:style w:styleId="Style_21" w:type="paragraph">
    <w:name w:val="heading 2"/>
    <w:next w:val="Style_1"/>
    <w:link w:val="Style_21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1_ch" w:type="character">
    <w:name w:val="heading 2"/>
    <w:link w:val="Style_21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2025-11-21T06:45:19Z</dcterms:modified>
</cp:coreProperties>
</file>